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ordWrap w:val="0"/>
        <w:spacing w:before="0" w:after="0" w:line="0" w:lineRule="atLeast"/>
        <w:ind w:left="0" w:right="0"/>
        <w:jc w:val="right"/>
        <w:textAlignment w:val="baseline"/>
        <w:rPr>
          <w:rFonts w:hint="eastAsia" w:ascii="黑体" w:hAnsi="黑体" w:eastAsia="黑体" w:cs="黑体"/>
          <w:szCs w:val="32"/>
        </w:rPr>
      </w:pPr>
    </w:p>
    <w:p>
      <w:pPr>
        <w:wordWrap w:val="0"/>
        <w:spacing w:line="600" w:lineRule="exact"/>
        <w:jc w:val="center"/>
        <w:rPr>
          <w:rFonts w:hint="eastAsia" w:ascii="黑体" w:hAnsi="黑体" w:eastAsia="黑体" w:cs="黑体"/>
          <w:b w:val="0"/>
          <w:bCs w:val="0"/>
          <w:sz w:val="34"/>
          <w:szCs w:val="34"/>
        </w:rPr>
      </w:pPr>
      <w:r>
        <w:rPr>
          <w:rFonts w:hint="eastAsia" w:ascii="黑体" w:hAnsi="黑体" w:eastAsia="黑体" w:cs="黑体"/>
          <w:b w:val="0"/>
          <w:bCs w:val="0"/>
          <w:sz w:val="34"/>
          <w:szCs w:val="34"/>
        </w:rPr>
        <w:t>福州市马尾区农业农村局</w:t>
      </w:r>
    </w:p>
    <w:p>
      <w:pPr>
        <w:wordWrap w:val="0"/>
        <w:spacing w:line="600" w:lineRule="exact"/>
        <w:jc w:val="center"/>
        <w:rPr>
          <w:rFonts w:hint="eastAsia" w:ascii="黑体" w:hAnsi="黑体" w:eastAsia="黑体" w:cs="黑体"/>
          <w:b w:val="0"/>
          <w:bCs w:val="0"/>
          <w:sz w:val="34"/>
          <w:szCs w:val="34"/>
        </w:rPr>
      </w:pPr>
      <w:r>
        <w:rPr>
          <w:rFonts w:hint="eastAsia" w:ascii="黑体" w:hAnsi="黑体" w:eastAsia="黑体" w:cs="黑体"/>
          <w:b w:val="0"/>
          <w:bCs w:val="0"/>
          <w:sz w:val="34"/>
          <w:szCs w:val="34"/>
        </w:rPr>
        <w:t>行政处罚</w:t>
      </w:r>
      <w:r>
        <w:rPr>
          <w:rFonts w:hint="eastAsia" w:ascii="黑体" w:hAnsi="黑体" w:eastAsia="黑体" w:cs="黑体"/>
          <w:b w:val="0"/>
          <w:bCs w:val="0"/>
          <w:sz w:val="34"/>
          <w:szCs w:val="34"/>
          <w:lang w:eastAsia="zh-CN"/>
        </w:rPr>
        <w:t>事先告知</w:t>
      </w:r>
      <w:r>
        <w:rPr>
          <w:rFonts w:hint="eastAsia" w:ascii="黑体" w:hAnsi="黑体" w:eastAsia="黑体" w:cs="黑体"/>
          <w:b w:val="0"/>
          <w:bCs w:val="0"/>
          <w:sz w:val="34"/>
          <w:szCs w:val="34"/>
        </w:rPr>
        <w:t>书</w:t>
      </w:r>
    </w:p>
    <w:p>
      <w:pPr>
        <w:wordWrap w:val="0"/>
        <w:overflowPunct w:val="0"/>
        <w:autoSpaceDN w:val="0"/>
        <w:adjustRightInd w:val="0"/>
        <w:snapToGrid w:val="0"/>
        <w:spacing w:line="600" w:lineRule="exact"/>
        <w:jc w:val="center"/>
        <w:rPr>
          <w:rFonts w:hint="eastAsia" w:ascii="仿宋_GB2312"/>
          <w:color w:val="000000"/>
          <w:szCs w:val="32"/>
        </w:rPr>
      </w:pPr>
      <w:r>
        <w:rPr>
          <w:rFonts w:hint="eastAsia" w:ascii="仿宋_GB2312"/>
          <w:color w:val="000000"/>
          <w:szCs w:val="32"/>
        </w:rPr>
        <w:t>榕马农(林业)罚〔2025〕7号</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当事人：欧</w:t>
      </w:r>
      <w:r>
        <w:rPr>
          <w:rFonts w:hint="eastAsia" w:ascii="仿宋_GB2312" w:hAnsi="Times New Roman" w:cs="仿宋_GB2312"/>
          <w:szCs w:val="30"/>
          <w:lang w:val="en-US" w:eastAsia="zh-CN"/>
        </w:rPr>
        <w:t>**</w:t>
      </w:r>
      <w:r>
        <w:rPr>
          <w:rFonts w:hint="eastAsia" w:ascii="仿宋_GB2312" w:hAnsi="Times New Roman" w:cs="仿宋_GB2312"/>
          <w:szCs w:val="30"/>
        </w:rPr>
        <w:t>院</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居民身份证: 35011119</w:t>
      </w:r>
      <w:r>
        <w:rPr>
          <w:rFonts w:hint="eastAsia" w:ascii="仿宋_GB2312" w:hAnsi="Times New Roman" w:cs="仿宋_GB2312"/>
          <w:szCs w:val="30"/>
          <w:lang w:val="en-US" w:eastAsia="zh-CN"/>
        </w:rPr>
        <w:t>********</w:t>
      </w:r>
      <w:r>
        <w:rPr>
          <w:rFonts w:hint="eastAsia" w:ascii="仿宋_GB2312" w:hAnsi="Times New Roman" w:cs="仿宋_GB2312"/>
          <w:szCs w:val="30"/>
        </w:rPr>
        <w:t>31</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lang w:val="en-US" w:eastAsia="zh-CN"/>
        </w:rPr>
      </w:pPr>
      <w:r>
        <w:rPr>
          <w:rFonts w:hint="eastAsia" w:ascii="仿宋_GB2312" w:hAnsi="Times New Roman" w:cs="仿宋_GB2312"/>
          <w:szCs w:val="30"/>
        </w:rPr>
        <w:t>住所(住址)：福建省福州市马尾区琅岐镇东岐村</w:t>
      </w:r>
      <w:r>
        <w:rPr>
          <w:rFonts w:hint="eastAsia" w:ascii="仿宋_GB2312" w:hAnsi="Times New Roman" w:cs="仿宋_GB2312"/>
          <w:szCs w:val="30"/>
          <w:lang w:val="en-US" w:eastAsia="zh-CN"/>
        </w:rPr>
        <w:t>******</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当事人</w:t>
      </w:r>
      <w:r>
        <w:rPr>
          <w:rFonts w:hint="eastAsia" w:ascii="仿宋_GB2312" w:hAnsi="Times New Roman" w:cs="仿宋_GB2312"/>
          <w:szCs w:val="30"/>
          <w:lang w:eastAsia="zh-CN"/>
        </w:rPr>
        <w:t>欧**院</w:t>
      </w:r>
      <w:r>
        <w:rPr>
          <w:rFonts w:hint="eastAsia" w:ascii="仿宋_GB2312" w:hAnsi="Times New Roman" w:cs="仿宋_GB2312"/>
          <w:szCs w:val="30"/>
        </w:rPr>
        <w:t>擅自改变林地用途一案，经本机关依法调查，现查明：2025年7月21日，我局收到福州市马尾区自然资源和规划局《关于移送琅岐镇凤窝村南山寺东岐村明通堂涉嫌违法占用林地线索的函》，函称琅岐镇明通堂旁存在一处违法占用林地行为。7月22日，琅岐镇明通堂负责人</w:t>
      </w:r>
      <w:r>
        <w:rPr>
          <w:rFonts w:hint="eastAsia" w:ascii="仿宋_GB2312" w:hAnsi="Times New Roman" w:cs="仿宋_GB2312"/>
          <w:szCs w:val="30"/>
          <w:lang w:eastAsia="zh-CN"/>
        </w:rPr>
        <w:t>欧**院</w:t>
      </w:r>
      <w:r>
        <w:rPr>
          <w:rFonts w:hint="eastAsia" w:ascii="仿宋_GB2312" w:hAnsi="Times New Roman" w:cs="仿宋_GB2312"/>
          <w:szCs w:val="30"/>
        </w:rPr>
        <w:t>到我局接受询问。</w:t>
      </w:r>
      <w:bookmarkStart w:id="0" w:name="_GoBack"/>
      <w:bookmarkEnd w:id="0"/>
      <w:r>
        <w:rPr>
          <w:rFonts w:hint="eastAsia" w:ascii="仿宋_GB2312" w:hAnsi="Times New Roman" w:cs="仿宋_GB2312"/>
          <w:szCs w:val="30"/>
        </w:rPr>
        <w:t>经询问核实，相关情况基本属实，该行为属擅自改变林地用途，涉嫌违反《中华人民共和国森林法》第三十七条的规定。7月30日，我局对该违法行为予以立案。8月6日，我局执法人员前往福州市马尾区琅岐镇云龙村东岐23号明通堂现场勘查。同日，委托福建鼎力司法鉴定中心，就“是否占用林地及其他林地性质、毁坏程度，是否毁坏林木及树种、数量、价值等”的开展司法鉴定。8月9日，我局收到福建鼎力《司法鉴定意见书》(闽鼎[2025]生态鉴字第503号)。8月18日，我局组织相关人员对该案件进行集体讨论，并据此给出处罚意见。</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经调查，当事人</w:t>
      </w:r>
      <w:r>
        <w:rPr>
          <w:rFonts w:hint="eastAsia" w:ascii="仿宋_GB2312" w:hAnsi="Times New Roman" w:cs="仿宋_GB2312"/>
          <w:szCs w:val="30"/>
          <w:lang w:eastAsia="zh-CN"/>
        </w:rPr>
        <w:t>欧**院</w:t>
      </w:r>
      <w:r>
        <w:rPr>
          <w:rFonts w:hint="eastAsia" w:ascii="仿宋_GB2312" w:hAnsi="Times New Roman" w:cs="仿宋_GB2312"/>
          <w:szCs w:val="30"/>
        </w:rPr>
        <w:t>未经县级以上人民政府林业主管部门审批同意，擅自在福州市马尾区琅岐镇云龙村东岐23号明通堂改变林地用途 0.745亩，用于搭建集装箱简易房和水泥底座钢结构建筑物及水泥埕等。</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上述事实，主要有以下证据证明：负责人身份证(复印件)1份、询问笔录(原件)1份、现场照片(打印件)1份、勘验、检查笔录(原件)1份、《司法鉴定意见书》(闽鼎[2025]生态鉴字第503号)(原件)1份。</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2025年10月16日向你送达了《行政处罚事先告知书》，并告知依法享有的陈述申辩权利。你单位自收到告知书之日起3日内未向本机关提出申辩，视为放弃以上权利。</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lang w:eastAsia="zh-CN"/>
        </w:rPr>
        <w:t>欧**院</w:t>
      </w:r>
      <w:r>
        <w:rPr>
          <w:rFonts w:hint="eastAsia" w:ascii="仿宋_GB2312" w:hAnsi="Times New Roman" w:cs="仿宋_GB2312"/>
          <w:szCs w:val="30"/>
        </w:rPr>
        <w:t>擅自改变林地用途行为，违反了《中华人民共和国森林法》第三十七条第一款“矿藏勘查、开采以及其他各类工程建设，应当不占或者少占林地；确需占用林地的，应当经县级以上人民政府林业主管部门审核同意，依法办理建设用地审批手续。”依照《中华人民共和国森林法》第七十三条第一款“违反本法规定，未经县级以上人民政府林业主管部门审核同意，擅自改变林地用途的，由县级以上人民政府林业主管部门责令限期恢复植被和林业生产条件，可以处恢复植被和林业生产条件所需费用三倍以下的罚款。”之规定，按照《福建省林业行政处罚裁量基准》第2项规定，认定为较轻裁量档次，即“擅自改变林地用途，防护林地、特种用途林地1亩以下，或者其他林地2亩以下的。责令限期恢复植被和林业生产条件；可以处恢复植被和林业生产条件所需费用一倍以下的罚款。”</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本机关认为：当事人的行为违反了《中华人民共和国森林法》第三十七条第一款之规定，事实清楚，证据确凿，当事人供认不讳，依法应给予行政处罚。依照《中华人民共和国森林法》第七十三条第一款“违反本法规定，未经县级以上人民政府林业主管部门审核同意，擅自改变林地用途的，由县级以上人民政府林业主管部门责令限期恢复植被和林业生产条件，可以处恢复植被和林业生产条件所需费用三倍以下的罚款。”之规定，本机关责令在2025年11月22日前改正违法行为，改正内容和要求如下：恢复植被和林业生产条件，并作出如下处罚决定：罚款人民币壹仟壹佰贰拾壹元贰角叁分(¥1121.23)。</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当事人应在收到本决定书之日起15日内，通过闽政通APP，搜索进入“闽执法”便民服务，点击进入“罚款缴纳”模块，采取线上支付的方式缴纳罚款。逾期不按规定缴纳罚款的，每日按罚款数额的 3%加处罚款。</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当事人对本处罚决定不服的，可以在收到本处罚决定书之日起60日内向马尾区人民政府申请行政复议；或者6月内向长乐区人民法院提起行政诉讼。行政复议和行政诉讼期间，本处罚决定不停止执行。</w:t>
      </w:r>
    </w:p>
    <w:p>
      <w:pPr>
        <w:wordWrap w:val="0"/>
        <w:overflowPunct w:val="0"/>
        <w:autoSpaceDE w:val="0"/>
        <w:snapToGrid w:val="0"/>
        <w:spacing w:line="600" w:lineRule="exact"/>
        <w:ind w:firstLine="640" w:firstLineChars="200"/>
        <w:contextualSpacing/>
        <w:rPr>
          <w:rFonts w:hint="eastAsia" w:ascii="仿宋_GB2312" w:hAnsi="Times New Roman" w:cs="仿宋_GB2312"/>
          <w:szCs w:val="30"/>
        </w:rPr>
      </w:pPr>
      <w:r>
        <w:rPr>
          <w:rFonts w:hint="eastAsia" w:ascii="仿宋_GB2312" w:hAnsi="Times New Roman" w:cs="仿宋_GB2312"/>
          <w:szCs w:val="30"/>
        </w:rPr>
        <w:t>当事人逾期不申请行政复议或者提起行政诉讼，也不履行本行政处罚决定的，本机关将依法申请人民法院强制执行。</w:t>
      </w:r>
    </w:p>
    <w:p>
      <w:pPr>
        <w:pStyle w:val="40"/>
        <w:ind w:right="960" w:rightChars="300" w:firstLine="0" w:firstLineChars="0"/>
        <w:jc w:val="right"/>
      </w:pPr>
      <w:r>
        <w:rPr>
          <w:rFonts w:hint="eastAsia"/>
        </w:rPr>
        <w:t>福州市马尾区农业农村局</w:t>
      </w:r>
    </w:p>
    <w:p>
      <w:pPr>
        <w:pStyle w:val="40"/>
        <w:ind w:right="1760" w:rightChars="550" w:firstLine="0" w:firstLineChars="0"/>
        <w:jc w:val="right"/>
      </w:pPr>
      <w:r>
        <w:rPr>
          <w:rFonts w:hint="eastAsia"/>
        </w:rPr>
        <w:t>（印章）</w:t>
      </w:r>
    </w:p>
    <w:p>
      <w:pPr>
        <w:pStyle w:val="40"/>
        <w:ind w:right="960" w:rightChars="300" w:firstLine="0" w:firstLineChars="0"/>
        <w:jc w:val="right"/>
        <w:rPr>
          <w:rFonts w:hint="eastAsia" w:ascii="仿宋" w:hAnsi="仿宋" w:eastAsia="仿宋" w:cs="仿宋"/>
        </w:rPr>
      </w:pPr>
      <w:r>
        <w:rPr>
          <w:rFonts w:hint="eastAsia" w:ascii="仿宋" w:hAnsi="仿宋" w:eastAsia="仿宋" w:cs="仿宋"/>
        </w:rPr>
        <w:t xml:space="preserve"> 2025年</w:t>
      </w:r>
      <w:r>
        <w:rPr>
          <w:rFonts w:hint="eastAsia" w:ascii="仿宋" w:hAnsi="仿宋" w:eastAsia="仿宋" w:cs="仿宋"/>
          <w:lang w:val="en-US" w:eastAsia="zh-CN"/>
        </w:rPr>
        <w:t>10</w:t>
      </w:r>
      <w:r>
        <w:rPr>
          <w:rFonts w:hint="eastAsia" w:ascii="仿宋" w:hAnsi="仿宋" w:eastAsia="仿宋" w:cs="仿宋"/>
        </w:rPr>
        <w:t>月</w:t>
      </w:r>
      <w:r>
        <w:rPr>
          <w:rFonts w:hint="eastAsia" w:ascii="仿宋" w:hAnsi="仿宋" w:eastAsia="仿宋" w:cs="仿宋"/>
          <w:lang w:val="en-US" w:eastAsia="zh-CN"/>
        </w:rPr>
        <w:t>22</w:t>
      </w:r>
      <w:r>
        <w:rPr>
          <w:rFonts w:hint="eastAsia" w:ascii="仿宋" w:hAnsi="仿宋" w:eastAsia="仿宋" w:cs="仿宋"/>
        </w:rPr>
        <w:t>日</w:t>
      </w:r>
    </w:p>
    <w:sectPr>
      <w:footerReference r:id="rId3" w:type="default"/>
      <w:pgSz w:w="11906" w:h="16838"/>
      <w:pgMar w:top="1440" w:right="1800" w:bottom="1440" w:left="1800" w:header="851" w:footer="992" w:gutter="0"/>
      <w:cols w:space="425"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URW Bookman">
    <w:panose1 w:val="00000400000000000000"/>
    <w:charset w:val="00"/>
    <w:family w:val="auto"/>
    <w:pitch w:val="default"/>
    <w:sig w:usb0="00000287" w:usb1="00000800" w:usb2="00000000" w:usb3="00000000" w:csb0="6000009F"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3000509000000000000"/>
    <w:charset w:val="86"/>
    <w:family w:val="auto"/>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600" w:lineRule="exact"/>
      <w:jc w:val="center"/>
      <w:rPr>
        <w:rFonts w:ascii="Times New Roman" w:hAnsi="Times New Roman"/>
        <w:sz w:val="28"/>
        <w:szCs w:val="28"/>
      </w:rPr>
    </w:pPr>
    <w:r>
      <w:rPr>
        <w:rFonts w:hint="eastAsia" w:ascii="Times New Roman" w:hAnsi="Times New Roman"/>
        <w:sz w:val="28"/>
        <w:szCs w:val="28"/>
      </w:rPr>
      <w:t xml:space="preserve">第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w:instrText>
    </w:r>
    <w:r>
      <w:rPr>
        <w:rFonts w:ascii="Times New Roman" w:hAnsi="Times New Roman" w:cs="Times New Roman"/>
        <w:sz w:val="28"/>
        <w:szCs w:val="28"/>
      </w:rPr>
      <w:fldChar w:fldCharType="separate"/>
    </w:r>
    <w:r>
      <w:rPr>
        <w:rFonts w:ascii="Times New Roman" w:hAnsi="Times New Roman" w:cs="Times New Roman"/>
        <w:sz w:val="28"/>
        <w:szCs w:val="28"/>
      </w:rPr>
      <w:t>3</w:t>
    </w:r>
    <w:r>
      <w:rPr>
        <w:rFonts w:ascii="Times New Roman" w:hAnsi="Times New Roman" w:cs="Times New Roman"/>
        <w:sz w:val="28"/>
        <w:szCs w:val="28"/>
      </w:rPr>
      <w:fldChar w:fldCharType="end"/>
    </w:r>
    <w:r>
      <w:rPr>
        <w:rFonts w:ascii="Times New Roman" w:hAnsi="Times New Roman" w:cs="Times New Roman"/>
        <w:sz w:val="28"/>
        <w:szCs w:val="28"/>
      </w:rPr>
      <w:t xml:space="preserve"> </w:t>
    </w:r>
    <w:r>
      <w:rPr>
        <w:rFonts w:hint="eastAsia" w:ascii="Times New Roman" w:hAnsi="Times New Roman"/>
        <w:sz w:val="28"/>
        <w:szCs w:val="28"/>
      </w:rPr>
      <w:t xml:space="preserve">页，共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NUMPAGES </w:instrText>
    </w:r>
    <w:r>
      <w:rPr>
        <w:rFonts w:ascii="Times New Roman" w:hAnsi="Times New Roman" w:cs="Times New Roman"/>
        <w:sz w:val="28"/>
        <w:szCs w:val="28"/>
      </w:rPr>
      <w:fldChar w:fldCharType="separate"/>
    </w:r>
    <w:r>
      <w:rPr>
        <w:rFonts w:ascii="Times New Roman" w:hAnsi="Times New Roman" w:cs="Times New Roman"/>
        <w:sz w:val="28"/>
        <w:szCs w:val="28"/>
      </w:rPr>
      <w:t>3</w:t>
    </w:r>
    <w:r>
      <w:rPr>
        <w:rFonts w:ascii="Times New Roman" w:hAnsi="Times New Roman" w:cs="Times New Roman"/>
        <w:sz w:val="28"/>
        <w:szCs w:val="28"/>
      </w:rPr>
      <w:fldChar w:fldCharType="end"/>
    </w:r>
    <w:r>
      <w:rPr>
        <w:rFonts w:ascii="Times New Roman" w:hAnsi="Times New Roman" w:cs="Times New Roman"/>
        <w:sz w:val="28"/>
        <w:szCs w:val="28"/>
      </w:rPr>
      <w:t xml:space="preserve"> </w:t>
    </w:r>
    <w:r>
      <w:rPr>
        <w:rFonts w:hint="eastAsia" w:ascii="Times New Roman" w:hAnsi="Times New Roman"/>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yZDI1OWJiNWQwMGJjMDI2Y2Y5ZTU3MjFkYWY3MzUifQ=="/>
    <w:docVar w:name="KSO_WPS_MARK_KEY" w:val="0ec60c98-4b69-4255-af9f-d8d5100460ab"/>
  </w:docVars>
  <w:rsids>
    <w:rsidRoot w:val="00C33D09"/>
    <w:rsid w:val="00003230"/>
    <w:rsid w:val="000148D8"/>
    <w:rsid w:val="0004405A"/>
    <w:rsid w:val="00047967"/>
    <w:rsid w:val="0008183E"/>
    <w:rsid w:val="000838F8"/>
    <w:rsid w:val="00084FA0"/>
    <w:rsid w:val="000A31BE"/>
    <w:rsid w:val="000C6B43"/>
    <w:rsid w:val="000C7A46"/>
    <w:rsid w:val="000D3C0D"/>
    <w:rsid w:val="000E3A27"/>
    <w:rsid w:val="000E3BDF"/>
    <w:rsid w:val="000E5225"/>
    <w:rsid w:val="00103599"/>
    <w:rsid w:val="0011222C"/>
    <w:rsid w:val="00134DF4"/>
    <w:rsid w:val="0016254F"/>
    <w:rsid w:val="001B2179"/>
    <w:rsid w:val="001C72A0"/>
    <w:rsid w:val="001D4627"/>
    <w:rsid w:val="001F4148"/>
    <w:rsid w:val="001F4BA7"/>
    <w:rsid w:val="00205329"/>
    <w:rsid w:val="00216A2C"/>
    <w:rsid w:val="00231D56"/>
    <w:rsid w:val="002578ED"/>
    <w:rsid w:val="00263AFF"/>
    <w:rsid w:val="0028249F"/>
    <w:rsid w:val="0028308A"/>
    <w:rsid w:val="002B3C8F"/>
    <w:rsid w:val="002B6B8D"/>
    <w:rsid w:val="002C4460"/>
    <w:rsid w:val="002D1AFB"/>
    <w:rsid w:val="00326F9C"/>
    <w:rsid w:val="00336C19"/>
    <w:rsid w:val="003471DE"/>
    <w:rsid w:val="0036514E"/>
    <w:rsid w:val="00367C92"/>
    <w:rsid w:val="003758B3"/>
    <w:rsid w:val="00377A09"/>
    <w:rsid w:val="003A6734"/>
    <w:rsid w:val="003B3F9D"/>
    <w:rsid w:val="003B748F"/>
    <w:rsid w:val="003C53A2"/>
    <w:rsid w:val="003D1E77"/>
    <w:rsid w:val="003D6CCF"/>
    <w:rsid w:val="003E3C77"/>
    <w:rsid w:val="003F40A2"/>
    <w:rsid w:val="003F6E06"/>
    <w:rsid w:val="00410579"/>
    <w:rsid w:val="00410BDB"/>
    <w:rsid w:val="0043509A"/>
    <w:rsid w:val="00447C71"/>
    <w:rsid w:val="00461465"/>
    <w:rsid w:val="004704EC"/>
    <w:rsid w:val="004873F2"/>
    <w:rsid w:val="004C6D0B"/>
    <w:rsid w:val="004D0675"/>
    <w:rsid w:val="004D31F8"/>
    <w:rsid w:val="004D5F56"/>
    <w:rsid w:val="00500E3C"/>
    <w:rsid w:val="00526E37"/>
    <w:rsid w:val="00534C23"/>
    <w:rsid w:val="00543EE5"/>
    <w:rsid w:val="00564068"/>
    <w:rsid w:val="00571032"/>
    <w:rsid w:val="00577B75"/>
    <w:rsid w:val="00577FA2"/>
    <w:rsid w:val="006759A5"/>
    <w:rsid w:val="00677090"/>
    <w:rsid w:val="00684823"/>
    <w:rsid w:val="006B5A1C"/>
    <w:rsid w:val="006C0462"/>
    <w:rsid w:val="006E2B7D"/>
    <w:rsid w:val="006F3B35"/>
    <w:rsid w:val="00716538"/>
    <w:rsid w:val="00723DD0"/>
    <w:rsid w:val="00733DF0"/>
    <w:rsid w:val="00765F45"/>
    <w:rsid w:val="0076651F"/>
    <w:rsid w:val="00787D86"/>
    <w:rsid w:val="007C14CD"/>
    <w:rsid w:val="007D385C"/>
    <w:rsid w:val="007D7DB3"/>
    <w:rsid w:val="007E02E6"/>
    <w:rsid w:val="007E0FDF"/>
    <w:rsid w:val="007E2A06"/>
    <w:rsid w:val="007F13E2"/>
    <w:rsid w:val="0082703C"/>
    <w:rsid w:val="00842BAD"/>
    <w:rsid w:val="0085508B"/>
    <w:rsid w:val="00862367"/>
    <w:rsid w:val="008670F2"/>
    <w:rsid w:val="00875E8B"/>
    <w:rsid w:val="008A75FF"/>
    <w:rsid w:val="00905D4F"/>
    <w:rsid w:val="00925582"/>
    <w:rsid w:val="00931686"/>
    <w:rsid w:val="00937316"/>
    <w:rsid w:val="00945530"/>
    <w:rsid w:val="00963E25"/>
    <w:rsid w:val="009848F5"/>
    <w:rsid w:val="009A228C"/>
    <w:rsid w:val="009A2E89"/>
    <w:rsid w:val="009A5ABE"/>
    <w:rsid w:val="009C69D3"/>
    <w:rsid w:val="009D2BA6"/>
    <w:rsid w:val="009E6143"/>
    <w:rsid w:val="009F0B95"/>
    <w:rsid w:val="00A102D4"/>
    <w:rsid w:val="00A319E6"/>
    <w:rsid w:val="00A464A8"/>
    <w:rsid w:val="00A54D8E"/>
    <w:rsid w:val="00A9383F"/>
    <w:rsid w:val="00A97E0C"/>
    <w:rsid w:val="00AA3510"/>
    <w:rsid w:val="00AB6199"/>
    <w:rsid w:val="00AB708F"/>
    <w:rsid w:val="00AD7DDD"/>
    <w:rsid w:val="00B01E67"/>
    <w:rsid w:val="00B05BE4"/>
    <w:rsid w:val="00B274A0"/>
    <w:rsid w:val="00B366B6"/>
    <w:rsid w:val="00B36DF1"/>
    <w:rsid w:val="00B57986"/>
    <w:rsid w:val="00B64F6D"/>
    <w:rsid w:val="00B74586"/>
    <w:rsid w:val="00B9198A"/>
    <w:rsid w:val="00BA187B"/>
    <w:rsid w:val="00BA51A2"/>
    <w:rsid w:val="00BA76AD"/>
    <w:rsid w:val="00BB3FFE"/>
    <w:rsid w:val="00BB7A79"/>
    <w:rsid w:val="00BC1DFA"/>
    <w:rsid w:val="00C33D09"/>
    <w:rsid w:val="00C56508"/>
    <w:rsid w:val="00C60F4E"/>
    <w:rsid w:val="00C65C54"/>
    <w:rsid w:val="00C73B81"/>
    <w:rsid w:val="00C80217"/>
    <w:rsid w:val="00CB2AC3"/>
    <w:rsid w:val="00CB7D32"/>
    <w:rsid w:val="00CE5294"/>
    <w:rsid w:val="00CF3D6D"/>
    <w:rsid w:val="00D00D6B"/>
    <w:rsid w:val="00D114F3"/>
    <w:rsid w:val="00D17B49"/>
    <w:rsid w:val="00D32B0C"/>
    <w:rsid w:val="00D33454"/>
    <w:rsid w:val="00D4549B"/>
    <w:rsid w:val="00D659C3"/>
    <w:rsid w:val="00D70578"/>
    <w:rsid w:val="00D75250"/>
    <w:rsid w:val="00D850F3"/>
    <w:rsid w:val="00DA0A6B"/>
    <w:rsid w:val="00DA47FB"/>
    <w:rsid w:val="00DB16B7"/>
    <w:rsid w:val="00DC6460"/>
    <w:rsid w:val="00DD5797"/>
    <w:rsid w:val="00DF7BB7"/>
    <w:rsid w:val="00E04BB9"/>
    <w:rsid w:val="00E0630B"/>
    <w:rsid w:val="00E06EAE"/>
    <w:rsid w:val="00E16565"/>
    <w:rsid w:val="00E416FF"/>
    <w:rsid w:val="00E505E5"/>
    <w:rsid w:val="00E54DF1"/>
    <w:rsid w:val="00E742FD"/>
    <w:rsid w:val="00E83216"/>
    <w:rsid w:val="00E93640"/>
    <w:rsid w:val="00E95941"/>
    <w:rsid w:val="00EA43EE"/>
    <w:rsid w:val="00EB3746"/>
    <w:rsid w:val="00EB7434"/>
    <w:rsid w:val="00EC1B84"/>
    <w:rsid w:val="00EC2E7E"/>
    <w:rsid w:val="00EC6808"/>
    <w:rsid w:val="00ED4E31"/>
    <w:rsid w:val="00EE52B1"/>
    <w:rsid w:val="00EF0A40"/>
    <w:rsid w:val="00EF15DE"/>
    <w:rsid w:val="00F12C77"/>
    <w:rsid w:val="00F20232"/>
    <w:rsid w:val="00F24C49"/>
    <w:rsid w:val="00F31383"/>
    <w:rsid w:val="00F66710"/>
    <w:rsid w:val="00F6732C"/>
    <w:rsid w:val="00F711C2"/>
    <w:rsid w:val="00F74227"/>
    <w:rsid w:val="00F7636A"/>
    <w:rsid w:val="00FA0607"/>
    <w:rsid w:val="00FA4E43"/>
    <w:rsid w:val="00FB08F7"/>
    <w:rsid w:val="00FB2904"/>
    <w:rsid w:val="00FE18B7"/>
    <w:rsid w:val="00FE31CA"/>
    <w:rsid w:val="00FE3944"/>
    <w:rsid w:val="00FE6FA5"/>
    <w:rsid w:val="0D715DD2"/>
    <w:rsid w:val="10E35395"/>
    <w:rsid w:val="237A57FB"/>
    <w:rsid w:val="2607528E"/>
    <w:rsid w:val="3F2F3CB8"/>
    <w:rsid w:val="545F1801"/>
    <w:rsid w:val="58DA4A61"/>
    <w:rsid w:val="5939155F"/>
    <w:rsid w:val="5BD9F20E"/>
    <w:rsid w:val="67DF8D63"/>
    <w:rsid w:val="7BDFE1EC"/>
    <w:rsid w:val="7D4F1FFA"/>
    <w:rsid w:val="9D7DC470"/>
    <w:rsid w:val="9EFEA8FB"/>
    <w:rsid w:val="B1DD0E6F"/>
    <w:rsid w:val="BB76735C"/>
    <w:rsid w:val="DDDDBFC1"/>
    <w:rsid w:val="E77F881C"/>
    <w:rsid w:val="EFDF50EB"/>
    <w:rsid w:val="FB3C2FC2"/>
    <w:rsid w:val="FDEF6294"/>
    <w:rsid w:val="FFBF9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32"/>
    <w:semiHidden/>
    <w:unhideWhenUsed/>
    <w:qFormat/>
    <w:uiPriority w:val="0"/>
    <w:pPr>
      <w:jc w:val="left"/>
    </w:pPr>
    <w:rPr>
      <w:rFonts w:ascii="Times New Roman" w:hAnsi="Times New Roman" w:cs="Times New Roman"/>
      <w:szCs w:val="20"/>
    </w:rPr>
  </w:style>
  <w:style w:type="paragraph" w:styleId="3">
    <w:name w:val="footer"/>
    <w:basedOn w:val="1"/>
    <w:link w:val="33"/>
    <w:unhideWhenUsed/>
    <w:qFormat/>
    <w:uiPriority w:val="99"/>
    <w:pPr>
      <w:tabs>
        <w:tab w:val="center" w:pos="4153"/>
        <w:tab w:val="right" w:pos="8306"/>
      </w:tabs>
      <w:snapToGrid w:val="0"/>
      <w:jc w:val="left"/>
    </w:pPr>
    <w:rPr>
      <w:sz w:val="18"/>
      <w:szCs w:val="18"/>
    </w:rPr>
  </w:style>
  <w:style w:type="paragraph" w:styleId="4">
    <w:name w:val="header"/>
    <w:basedOn w:val="1"/>
    <w:link w:val="35"/>
    <w:unhideWhenUsed/>
    <w:qFormat/>
    <w:uiPriority w:val="99"/>
    <w:pPr>
      <w:tabs>
        <w:tab w:val="center" w:pos="4153"/>
        <w:tab w:val="right" w:pos="8306"/>
      </w:tabs>
      <w:snapToGrid w:val="0"/>
      <w:jc w:val="center"/>
    </w:pPr>
    <w:rPr>
      <w:sz w:val="18"/>
      <w:szCs w:val="18"/>
    </w:rPr>
  </w:style>
  <w:style w:type="character" w:styleId="7">
    <w:name w:val="annotation reference"/>
    <w:basedOn w:val="6"/>
    <w:semiHidden/>
    <w:unhideWhenUsed/>
    <w:qFormat/>
    <w:uiPriority w:val="99"/>
    <w:rPr>
      <w:sz w:val="21"/>
      <w:szCs w:val="21"/>
    </w:rPr>
  </w:style>
  <w:style w:type="character" w:customStyle="1" w:styleId="8">
    <w:name w:val="页眉 字符"/>
    <w:basedOn w:val="6"/>
    <w:link w:val="9"/>
    <w:qFormat/>
    <w:uiPriority w:val="99"/>
    <w:rPr>
      <w:rFonts w:eastAsia="仿宋_GB2312"/>
      <w:sz w:val="18"/>
      <w:szCs w:val="18"/>
    </w:rPr>
  </w:style>
  <w:style w:type="paragraph" w:customStyle="1" w:styleId="9">
    <w:name w:val="footer197c9e19"/>
    <w:basedOn w:val="10"/>
    <w:link w:val="8"/>
    <w:unhideWhenUsed/>
    <w:qFormat/>
    <w:uiPriority w:val="99"/>
    <w:pPr>
      <w:tabs>
        <w:tab w:val="center" w:pos="4153"/>
        <w:tab w:val="right" w:pos="8306"/>
      </w:tabs>
      <w:snapToGrid w:val="0"/>
      <w:jc w:val="left"/>
    </w:pPr>
    <w:rPr>
      <w:sz w:val="18"/>
      <w:szCs w:val="18"/>
    </w:rPr>
  </w:style>
  <w:style w:type="paragraph" w:customStyle="1" w:styleId="10">
    <w:name w:val="Normala685e9bc"/>
    <w:qFormat/>
    <w:uiPriority w:val="0"/>
    <w:pPr>
      <w:widowControl w:val="0"/>
      <w:jc w:val="both"/>
    </w:pPr>
    <w:rPr>
      <w:rFonts w:eastAsia="仿宋_GB2312" w:asciiTheme="minorHAnsi" w:hAnsiTheme="minorHAnsi" w:cstheme="minorBidi"/>
      <w:kern w:val="2"/>
      <w:sz w:val="32"/>
      <w:szCs w:val="22"/>
      <w:lang w:val="en-US" w:eastAsia="zh-CN" w:bidi="ar-SA"/>
    </w:rPr>
  </w:style>
  <w:style w:type="character" w:customStyle="1" w:styleId="11">
    <w:name w:val="页脚 字符"/>
    <w:basedOn w:val="6"/>
    <w:link w:val="12"/>
    <w:qFormat/>
    <w:uiPriority w:val="99"/>
    <w:rPr>
      <w:sz w:val="18"/>
      <w:szCs w:val="18"/>
    </w:rPr>
  </w:style>
  <w:style w:type="paragraph" w:customStyle="1" w:styleId="12">
    <w:name w:val="header237dcba8"/>
    <w:basedOn w:val="13"/>
    <w:link w:val="11"/>
    <w:unhideWhenUsed/>
    <w:qFormat/>
    <w:uiPriority w:val="99"/>
    <w:pPr>
      <w:pBdr>
        <w:bottom w:val="single" w:color="auto" w:sz="6" w:space="1"/>
      </w:pBdr>
      <w:tabs>
        <w:tab w:val="center" w:pos="4153"/>
        <w:tab w:val="right" w:pos="8306"/>
      </w:tabs>
      <w:snapToGrid w:val="0"/>
      <w:jc w:val="center"/>
    </w:pPr>
    <w:rPr>
      <w:rFonts w:eastAsiaTheme="minorEastAsia"/>
      <w:sz w:val="18"/>
      <w:szCs w:val="18"/>
    </w:rPr>
  </w:style>
  <w:style w:type="paragraph" w:customStyle="1" w:styleId="13">
    <w:name w:val="Normal25ac3e55"/>
    <w:qFormat/>
    <w:uiPriority w:val="0"/>
    <w:pPr>
      <w:widowControl w:val="0"/>
      <w:jc w:val="both"/>
    </w:pPr>
    <w:rPr>
      <w:rFonts w:eastAsia="仿宋_GB2312" w:asciiTheme="minorHAnsi" w:hAnsiTheme="minorHAnsi" w:cstheme="minorBidi"/>
      <w:kern w:val="2"/>
      <w:sz w:val="32"/>
      <w:szCs w:val="22"/>
      <w:lang w:val="en-US" w:eastAsia="zh-CN" w:bidi="ar-SA"/>
    </w:rPr>
  </w:style>
  <w:style w:type="paragraph" w:customStyle="1" w:styleId="14">
    <w:name w:val="Balloon Text9b80aa5b"/>
    <w:basedOn w:val="10"/>
    <w:link w:val="11"/>
    <w:semiHidden/>
    <w:unhideWhenUsed/>
    <w:qFormat/>
    <w:uiPriority w:val="99"/>
    <w:rPr>
      <w:sz w:val="18"/>
      <w:szCs w:val="18"/>
    </w:rPr>
  </w:style>
  <w:style w:type="character" w:customStyle="1" w:styleId="15">
    <w:name w:val="批注文字 字符"/>
    <w:basedOn w:val="6"/>
    <w:link w:val="16"/>
    <w:semiHidden/>
    <w:qFormat/>
    <w:uiPriority w:val="0"/>
    <w:rPr>
      <w:rFonts w:ascii="Times New Roman" w:hAnsi="Times New Roman" w:eastAsia="仿宋_GB2312" w:cs="Times New Roman"/>
      <w:sz w:val="32"/>
      <w:szCs w:val="20"/>
    </w:rPr>
  </w:style>
  <w:style w:type="paragraph" w:customStyle="1" w:styleId="16">
    <w:name w:val="footerf1ef0021"/>
    <w:basedOn w:val="13"/>
    <w:link w:val="15"/>
    <w:unhideWhenUsed/>
    <w:qFormat/>
    <w:uiPriority w:val="99"/>
    <w:pPr>
      <w:tabs>
        <w:tab w:val="center" w:pos="4153"/>
        <w:tab w:val="right" w:pos="8306"/>
      </w:tabs>
      <w:snapToGrid w:val="0"/>
      <w:jc w:val="left"/>
    </w:pPr>
    <w:rPr>
      <w:rFonts w:eastAsiaTheme="minorEastAsia"/>
      <w:sz w:val="18"/>
      <w:szCs w:val="18"/>
    </w:rPr>
  </w:style>
  <w:style w:type="paragraph" w:customStyle="1" w:styleId="17">
    <w:name w:val="annotation text736d9891"/>
    <w:basedOn w:val="10"/>
    <w:link w:val="15"/>
    <w:unhideWhenUsed/>
    <w:qFormat/>
    <w:uiPriority w:val="0"/>
    <w:pPr>
      <w:jc w:val="left"/>
    </w:pPr>
    <w:rPr>
      <w:rFonts w:ascii="Times New Roman" w:hAnsi="Times New Roman" w:cs="Times New Roman"/>
      <w:szCs w:val="20"/>
    </w:rPr>
  </w:style>
  <w:style w:type="paragraph" w:customStyle="1" w:styleId="18">
    <w:name w:val="2021文书-页码"/>
    <w:qFormat/>
    <w:uiPriority w:val="0"/>
    <w:pPr>
      <w:spacing w:line="600" w:lineRule="exact"/>
      <w:jc w:val="center"/>
    </w:pPr>
    <w:rPr>
      <w:rFonts w:ascii="Times New Roman" w:hAnsi="Times New Roman" w:eastAsia="仿宋_GB2312" w:cs="仿宋_GB2312"/>
      <w:kern w:val="2"/>
      <w:sz w:val="28"/>
      <w:szCs w:val="22"/>
      <w:lang w:val="en-US" w:eastAsia="zh-CN" w:bidi="ar-SA"/>
    </w:rPr>
  </w:style>
  <w:style w:type="paragraph" w:customStyle="1" w:styleId="19">
    <w:name w:val="2021文书-文号"/>
    <w:qFormat/>
    <w:uiPriority w:val="0"/>
    <w:pPr>
      <w:adjustRightInd w:val="0"/>
      <w:snapToGrid w:val="0"/>
      <w:spacing w:line="600" w:lineRule="exact"/>
      <w:jc w:val="center"/>
    </w:pPr>
    <w:rPr>
      <w:rFonts w:ascii="Times New Roman" w:hAnsi="Times New Roman" w:eastAsia="仿宋_GB2312" w:cstheme="minorBidi"/>
      <w:kern w:val="2"/>
      <w:sz w:val="32"/>
      <w:szCs w:val="28"/>
      <w:lang w:val="en-US" w:eastAsia="zh-CN" w:bidi="ar-SA"/>
    </w:rPr>
  </w:style>
  <w:style w:type="character" w:customStyle="1" w:styleId="20">
    <w:name w:val="Default Paragraph Fontcbf7c4ca"/>
    <w:semiHidden/>
    <w:unhideWhenUsed/>
    <w:qFormat/>
    <w:uiPriority w:val="1"/>
  </w:style>
  <w:style w:type="table" w:customStyle="1" w:styleId="21">
    <w:name w:val="Normal Tableca18604a"/>
    <w:semiHidden/>
    <w:unhideWhenUsed/>
    <w:qFormat/>
    <w:uiPriority w:val="99"/>
    <w:tblPr>
      <w:tblCellMar>
        <w:top w:w="0" w:type="dxa"/>
        <w:left w:w="108" w:type="dxa"/>
        <w:bottom w:w="0" w:type="dxa"/>
        <w:right w:w="108" w:type="dxa"/>
      </w:tblCellMar>
    </w:tblPr>
  </w:style>
  <w:style w:type="paragraph" w:customStyle="1" w:styleId="22">
    <w:name w:val="HTML PreformattedHTML"/>
    <w:basedOn w:val="13"/>
    <w:link w:val="36"/>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character" w:customStyle="1" w:styleId="23">
    <w:name w:val="页眉 字符0686e49b"/>
    <w:basedOn w:val="20"/>
    <w:link w:val="3"/>
    <w:qFormat/>
    <w:uiPriority w:val="99"/>
    <w:rPr>
      <w:sz w:val="18"/>
      <w:szCs w:val="18"/>
    </w:rPr>
  </w:style>
  <w:style w:type="character" w:customStyle="1" w:styleId="24">
    <w:name w:val="页脚 字符330e4e9d"/>
    <w:basedOn w:val="20"/>
    <w:link w:val="2"/>
    <w:qFormat/>
    <w:uiPriority w:val="99"/>
    <w:rPr>
      <w:sz w:val="18"/>
      <w:szCs w:val="18"/>
    </w:rPr>
  </w:style>
  <w:style w:type="character" w:customStyle="1" w:styleId="25">
    <w:name w:val="cellcell"/>
    <w:basedOn w:val="20"/>
    <w:qFormat/>
    <w:uiPriority w:val="0"/>
  </w:style>
  <w:style w:type="character" w:customStyle="1" w:styleId="26">
    <w:name w:val="Default Paragraph Font5e41e401"/>
    <w:semiHidden/>
    <w:unhideWhenUsed/>
    <w:qFormat/>
    <w:uiPriority w:val="1"/>
  </w:style>
  <w:style w:type="table" w:customStyle="1" w:styleId="27">
    <w:name w:val="Normal Table7cda76c1"/>
    <w:semiHidden/>
    <w:unhideWhenUsed/>
    <w:qFormat/>
    <w:uiPriority w:val="99"/>
    <w:tblPr>
      <w:tblCellMar>
        <w:top w:w="0" w:type="dxa"/>
        <w:left w:w="108" w:type="dxa"/>
        <w:bottom w:w="0" w:type="dxa"/>
        <w:right w:w="108" w:type="dxa"/>
      </w:tblCellMar>
    </w:tblPr>
  </w:style>
  <w:style w:type="paragraph" w:customStyle="1" w:styleId="28">
    <w:name w:val="header32bf0648"/>
    <w:basedOn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29">
    <w:name w:val="HTML Preformatted61959f03"/>
    <w:basedOn w:val="1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customStyle="1" w:styleId="30">
    <w:name w:val="Table Gridab"/>
    <w:basedOn w:val="27"/>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1">
    <w:name w:val="annotation referenceac"/>
    <w:basedOn w:val="26"/>
    <w:unhideWhenUsed/>
    <w:qFormat/>
    <w:uiPriority w:val="0"/>
    <w:rPr>
      <w:sz w:val="21"/>
      <w:szCs w:val="21"/>
    </w:rPr>
  </w:style>
  <w:style w:type="character" w:customStyle="1" w:styleId="32">
    <w:name w:val="批注文字 字符c046819c"/>
    <w:basedOn w:val="26"/>
    <w:link w:val="2"/>
    <w:qFormat/>
    <w:uiPriority w:val="0"/>
    <w:rPr>
      <w:rFonts w:ascii="Times New Roman" w:hAnsi="Times New Roman" w:eastAsia="仿宋_GB2312" w:cs="Times New Roman"/>
      <w:sz w:val="32"/>
      <w:szCs w:val="20"/>
    </w:rPr>
  </w:style>
  <w:style w:type="character" w:customStyle="1" w:styleId="33">
    <w:name w:val="批注框文本 字符1049f3c3"/>
    <w:basedOn w:val="26"/>
    <w:link w:val="3"/>
    <w:semiHidden/>
    <w:qFormat/>
    <w:uiPriority w:val="99"/>
    <w:rPr>
      <w:rFonts w:eastAsia="仿宋_GB2312"/>
      <w:sz w:val="18"/>
      <w:szCs w:val="18"/>
    </w:rPr>
  </w:style>
  <w:style w:type="character" w:customStyle="1" w:styleId="34">
    <w:name w:val="页眉 字符aa"/>
    <w:basedOn w:val="26"/>
    <w:qFormat/>
    <w:uiPriority w:val="99"/>
    <w:rPr>
      <w:rFonts w:eastAsia="仿宋_GB2312"/>
      <w:sz w:val="18"/>
      <w:szCs w:val="18"/>
    </w:rPr>
  </w:style>
  <w:style w:type="character" w:customStyle="1" w:styleId="35">
    <w:name w:val="页脚 字符8e5b3496"/>
    <w:basedOn w:val="26"/>
    <w:link w:val="4"/>
    <w:qFormat/>
    <w:uiPriority w:val="99"/>
    <w:rPr>
      <w:rFonts w:eastAsia="仿宋_GB2312"/>
      <w:sz w:val="18"/>
      <w:szCs w:val="18"/>
    </w:rPr>
  </w:style>
  <w:style w:type="character" w:customStyle="1" w:styleId="36">
    <w:name w:val="HTML 预设格式 字符HTML0"/>
    <w:basedOn w:val="26"/>
    <w:link w:val="22"/>
    <w:qFormat/>
    <w:uiPriority w:val="99"/>
    <w:rPr>
      <w:rFonts w:ascii="宋体" w:hAnsi="宋体" w:eastAsia="宋体" w:cs="宋体"/>
      <w:kern w:val="0"/>
      <w:sz w:val="24"/>
      <w:szCs w:val="24"/>
    </w:rPr>
  </w:style>
  <w:style w:type="paragraph" w:customStyle="1" w:styleId="37">
    <w:name w:val="正文11"/>
    <w:qFormat/>
    <w:uiPriority w:val="0"/>
    <w:pPr>
      <w:jc w:val="both"/>
    </w:pPr>
    <w:rPr>
      <w:rFonts w:ascii="Calibri" w:hAnsi="Calibri" w:eastAsia="宋体" w:cs="Calibri"/>
      <w:kern w:val="2"/>
      <w:sz w:val="21"/>
      <w:szCs w:val="21"/>
      <w:lang w:val="en-US" w:eastAsia="zh-CN" w:bidi="ar-SA"/>
    </w:rPr>
  </w:style>
  <w:style w:type="paragraph" w:customStyle="1" w:styleId="38">
    <w:name w:val="2021文书-标题4a81f0c4"/>
    <w:qFormat/>
    <w:uiPriority w:val="0"/>
    <w:pPr>
      <w:spacing w:line="600" w:lineRule="exact"/>
      <w:jc w:val="center"/>
    </w:pPr>
    <w:rPr>
      <w:rFonts w:ascii="Times New Roman" w:hAnsi="Times New Roman" w:eastAsia="方正小标宋简体" w:cs="仿宋_GB2312"/>
      <w:kern w:val="2"/>
      <w:sz w:val="44"/>
      <w:szCs w:val="22"/>
      <w:lang w:val="en-US" w:eastAsia="zh-CN" w:bidi="ar-SA"/>
    </w:rPr>
  </w:style>
  <w:style w:type="paragraph" w:customStyle="1" w:styleId="39">
    <w:name w:val="2021文书-文号90dbc7e6"/>
    <w:qFormat/>
    <w:uiPriority w:val="0"/>
    <w:pPr>
      <w:spacing w:line="600" w:lineRule="exact"/>
      <w:jc w:val="center"/>
    </w:pPr>
    <w:rPr>
      <w:rFonts w:ascii="Times New Roman" w:hAnsi="Times New Roman" w:eastAsia="仿宋_GB2312" w:cs="仿宋_GB2312"/>
      <w:kern w:val="2"/>
      <w:sz w:val="32"/>
      <w:szCs w:val="22"/>
      <w:lang w:val="en-US" w:eastAsia="zh-CN" w:bidi="ar-SA"/>
    </w:rPr>
  </w:style>
  <w:style w:type="paragraph" w:customStyle="1" w:styleId="40">
    <w:name w:val="2021文书-正文2021-1"/>
    <w:qFormat/>
    <w:uiPriority w:val="0"/>
    <w:pPr>
      <w:wordWrap w:val="0"/>
      <w:spacing w:line="600" w:lineRule="exact"/>
      <w:ind w:firstLine="200" w:firstLineChars="200"/>
      <w:jc w:val="both"/>
    </w:pPr>
    <w:rPr>
      <w:rFonts w:ascii="Times New Roman" w:hAnsi="Times New Roman" w:eastAsia="仿宋_GB2312" w:cs="仿宋_GB2312"/>
      <w:kern w:val="2"/>
      <w:sz w:val="32"/>
      <w:szCs w:val="22"/>
      <w:lang w:val="en-US" w:eastAsia="zh-CN" w:bidi="ar-SA"/>
    </w:rPr>
  </w:style>
  <w:style w:type="paragraph" w:customStyle="1" w:styleId="41">
    <w:name w:val="2021文书-页码2021-2"/>
    <w:qFormat/>
    <w:uiPriority w:val="0"/>
    <w:pPr>
      <w:spacing w:line="600" w:lineRule="exact"/>
      <w:jc w:val="center"/>
    </w:pPr>
    <w:rPr>
      <w:rFonts w:ascii="Times New Roman" w:hAnsi="Times New Roman" w:eastAsia="仿宋_GB2312" w:cs="仿宋_GB2312"/>
      <w:kern w:val="2"/>
      <w:sz w:val="28"/>
      <w:szCs w:val="22"/>
      <w:lang w:val="en-US" w:eastAsia="zh-CN" w:bidi="ar-SA"/>
    </w:rPr>
  </w:style>
  <w:style w:type="paragraph" w:customStyle="1" w:styleId="42">
    <w:name w:val="2021文书-正文（无缩进）2021-3"/>
    <w:qFormat/>
    <w:uiPriority w:val="0"/>
    <w:pPr>
      <w:wordWrap w:val="0"/>
      <w:spacing w:line="600" w:lineRule="exact"/>
      <w:jc w:val="both"/>
    </w:pPr>
    <w:rPr>
      <w:rFonts w:ascii="Times New Roman" w:hAnsi="Times New Roman" w:eastAsia="仿宋_GB2312" w:cs="仿宋_GB2312"/>
      <w:kern w:val="2"/>
      <w:sz w:val="3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102</Words>
  <Characters>583</Characters>
  <Lines>4</Lines>
  <Paragraphs>1</Paragraphs>
  <TotalTime>6</TotalTime>
  <ScaleCrop>false</ScaleCrop>
  <LinksUpToDate>false</LinksUpToDate>
  <CharactersWithSpaces>684</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2022-07-18T10:56:00Z</dcterms:created>
  <dc:creator>MD_019027</dc:creator>
  <cp:lastModifiedBy>thtf</cp:lastModifiedBy>
  <dcterms:modified xsi:type="dcterms:W3CDTF">2025-10-27T11:25:57Z</dcterms:modified>
  <cp:revision>330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3A6E06F9FCDD4590824AA9CA475A72CD</vt:lpwstr>
  </property>
</Properties>
</file>